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81" w:rsidRPr="00011A81" w:rsidRDefault="00011A81" w:rsidP="00011A81">
      <w:pPr>
        <w:shd w:val="clear" w:color="auto" w:fill="FFFFFF"/>
        <w:spacing w:before="300" w:after="225" w:line="39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E6018"/>
          <w:sz w:val="30"/>
          <w:szCs w:val="30"/>
          <w:lang w:eastAsia="fr-FR"/>
        </w:rPr>
      </w:pPr>
      <w:r w:rsidRPr="00011A81">
        <w:rPr>
          <w:rFonts w:ascii="Arial" w:eastAsia="Times New Roman" w:hAnsi="Arial" w:cs="Arial"/>
          <w:b/>
          <w:bCs/>
          <w:color w:val="FE6018"/>
          <w:sz w:val="30"/>
          <w:szCs w:val="30"/>
          <w:lang w:eastAsia="fr-FR"/>
        </w:rPr>
        <w:t>Tableau comparatif entre la franchise et la concession</w:t>
      </w:r>
      <w:bookmarkStart w:id="0" w:name="_GoBack"/>
      <w:bookmarkEnd w:id="0"/>
    </w:p>
    <w:tbl>
      <w:tblPr>
        <w:tblW w:w="1516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63"/>
        <w:gridCol w:w="5674"/>
        <w:gridCol w:w="281"/>
        <w:gridCol w:w="5956"/>
      </w:tblGrid>
      <w:tr w:rsidR="00011A81" w:rsidRPr="00011A81" w:rsidTr="00383F99">
        <w:trPr>
          <w:jc w:val="center"/>
        </w:trPr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rPr>
                <w:rFonts w:ascii="Arial" w:eastAsia="Times New Roman" w:hAnsi="Arial" w:cs="Arial"/>
                <w:color w:val="FE6018"/>
                <w:sz w:val="30"/>
                <w:szCs w:val="30"/>
                <w:lang w:eastAsia="fr-FR"/>
              </w:rPr>
            </w:pPr>
          </w:p>
        </w:tc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75E8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011A81">
              <w:rPr>
                <w:rFonts w:ascii="inherit" w:eastAsia="Times New Roman" w:hAnsi="inherit" w:cs="Arial"/>
                <w:b/>
                <w:bCs/>
                <w:color w:val="FFFFFF"/>
                <w:sz w:val="18"/>
                <w:szCs w:val="18"/>
                <w:lang w:eastAsia="fr-FR"/>
              </w:rPr>
              <w:t>FRANCHISE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75E8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011A81">
              <w:rPr>
                <w:rFonts w:ascii="inherit" w:eastAsia="Times New Roman" w:hAnsi="inherit" w:cs="Arial"/>
                <w:b/>
                <w:bCs/>
                <w:color w:val="FFFFFF"/>
                <w:sz w:val="18"/>
                <w:szCs w:val="18"/>
                <w:lang w:eastAsia="fr-FR"/>
              </w:rPr>
              <w:t>CONCESSION</w:t>
            </w:r>
          </w:p>
        </w:tc>
      </w:tr>
      <w:tr w:rsidR="00011A81" w:rsidRPr="00011A81" w:rsidTr="00383F99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</w:pPr>
            <w:r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Définition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Le </w:t>
            </w:r>
            <w:r w:rsidRPr="00011A81">
              <w:rPr>
                <w:rFonts w:ascii="inherit" w:eastAsia="Times New Roman" w:hAnsi="inherit"/>
                <w:b/>
                <w:bCs/>
                <w:sz w:val="20"/>
                <w:szCs w:val="20"/>
                <w:lang w:eastAsia="fr-FR"/>
              </w:rPr>
              <w:t>contrat de franchise</w:t>
            </w: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 repose sur la mise en place d’un contrat par lequel une entreprise, appelée le franchiseur, accorde à une autre entreprise, appelée le franchisé, le droit d’exploiter son concept, sa marque et son savoir-faire.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Le </w:t>
            </w:r>
            <w:r w:rsidRPr="00011A81">
              <w:rPr>
                <w:rFonts w:ascii="inherit" w:eastAsia="Times New Roman" w:hAnsi="inherit"/>
                <w:b/>
                <w:bCs/>
                <w:sz w:val="20"/>
                <w:szCs w:val="20"/>
                <w:lang w:eastAsia="fr-FR"/>
              </w:rPr>
              <w:t>contrat de concession</w:t>
            </w: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 repose sur la mise en place d’un contrat par lequel un groupe, appelé le concédant, permet à une entreprise, appelée le concessionnaire, de distribuer ses produits en exclusivité sur un zone géographique définie</w:t>
            </w:r>
          </w:p>
        </w:tc>
      </w:tr>
      <w:tr w:rsidR="00011A81" w:rsidRPr="00011A81" w:rsidTr="00383F99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Objectif du contrat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réitérer un concept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commercialiser des produits</w:t>
            </w:r>
          </w:p>
        </w:tc>
      </w:tr>
      <w:tr w:rsidR="00011A81" w:rsidRPr="00011A81" w:rsidTr="00383F99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Communication préalable d’un DIP</w:t>
            </w:r>
            <w:r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 xml:space="preserve"> (</w:t>
            </w:r>
            <w:r w:rsidRPr="00011A81">
              <w:rPr>
                <w:rFonts w:ascii="inherit" w:eastAsia="Times New Roman" w:hAnsi="inherit" w:cs="Arial"/>
                <w:b/>
                <w:sz w:val="18"/>
                <w:szCs w:val="18"/>
                <w:lang w:eastAsia="fr-FR"/>
              </w:rPr>
              <w:t>D</w:t>
            </w:r>
            <w:r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ocument d’</w:t>
            </w:r>
            <w:r w:rsidRPr="00011A81">
              <w:rPr>
                <w:rFonts w:ascii="inherit" w:eastAsia="Times New Roman" w:hAnsi="inherit" w:cs="Arial"/>
                <w:b/>
                <w:sz w:val="18"/>
                <w:szCs w:val="18"/>
                <w:lang w:eastAsia="fr-FR"/>
              </w:rPr>
              <w:t>I</w:t>
            </w:r>
            <w:r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 xml:space="preserve">nformation </w:t>
            </w:r>
            <w:r w:rsidRPr="00011A81">
              <w:rPr>
                <w:rFonts w:ascii="inherit" w:eastAsia="Times New Roman" w:hAnsi="inherit" w:cs="Arial"/>
                <w:b/>
                <w:sz w:val="18"/>
                <w:szCs w:val="18"/>
                <w:lang w:eastAsia="fr-FR"/>
              </w:rPr>
              <w:t>P</w:t>
            </w:r>
            <w:r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récontractuelle)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obligatoirement transmis au futur franchiseur 20 jours au moins avant la signature du contrat, lorsque ce dernier contient une exclusivité ou quasi-exclusivité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obligatoirement transmis au futur concessionnaire 20 jours au moins avant la signature du contrat de concession</w:t>
            </w:r>
          </w:p>
        </w:tc>
      </w:tr>
      <w:tr w:rsidR="00011A81" w:rsidRPr="00011A81" w:rsidTr="00383F99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Contrat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contrat écrit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contrat écrit</w:t>
            </w:r>
          </w:p>
        </w:tc>
      </w:tr>
      <w:tr w:rsidR="00011A81" w:rsidRPr="00011A81" w:rsidTr="00383F99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Durée du partenariat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à durée déterminée, avec une durée suffisante pour permettre au franchisé l’amortissement des investissements spécifiques à la franchise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à durée déterminée (10 ans maximum, 5 ans minimum si le contrat concerne la distribution de véhicules automobiles avec une marque en exclusivité) ou indéterminée</w:t>
            </w:r>
          </w:p>
        </w:tc>
      </w:tr>
      <w:tr w:rsidR="00011A81" w:rsidRPr="00011A81" w:rsidTr="00383F99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Transmission d’un savoir-faire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oui obligatoirement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non, mais cela reste possible</w:t>
            </w:r>
          </w:p>
        </w:tc>
      </w:tr>
      <w:tr w:rsidR="00011A81" w:rsidRPr="00011A81" w:rsidTr="00383F99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Nom commercial, marque et enseigne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droit d’utilisation des marques et des signes de ralliement du réseau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droit d’utilisation de tous les signes permettant le ralliement de la clientèle</w:t>
            </w:r>
          </w:p>
        </w:tc>
      </w:tr>
      <w:tr w:rsidR="00011A81" w:rsidRPr="00011A81" w:rsidTr="00383F99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Droit d’entrée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proofErr w:type="gramStart"/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oui</w:t>
            </w:r>
            <w:proofErr w:type="gramEnd"/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, dans le but d’indemniser le franchiseur en contrepartie de la mise à disposition de son concept et de l’accompagnement à l’installation. </w:t>
            </w:r>
            <w:r w:rsidRPr="00011A81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Plus d’infos : </w:t>
            </w:r>
            <w:hyperlink r:id="rId5" w:history="1">
              <w:r w:rsidRPr="00011A81">
                <w:rPr>
                  <w:rFonts w:ascii="inherit" w:eastAsia="Times New Roman" w:hAnsi="inherit" w:cs="Arial"/>
                  <w:i/>
                  <w:iCs/>
                  <w:color w:val="FE4B11"/>
                  <w:sz w:val="20"/>
                  <w:szCs w:val="20"/>
                  <w:u w:val="single"/>
                  <w:bdr w:val="none" w:sz="0" w:space="0" w:color="auto" w:frame="1"/>
                  <w:lang w:eastAsia="fr-FR"/>
                </w:rPr>
                <w:t>le droit d’entrée</w:t>
              </w:r>
            </w:hyperlink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possible</w:t>
            </w:r>
          </w:p>
        </w:tc>
      </w:tr>
      <w:tr w:rsidR="00011A81" w:rsidRPr="00011A81" w:rsidTr="00383F99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Conditions financières pendant le partenariat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redevances tout au long du partenariat, généralement calculées sur le chiffre d’affaires ; redevances de communication ou de publicité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le concédant achète en exclusivité au concessionnaire ; redevances possibles</w:t>
            </w:r>
          </w:p>
        </w:tc>
      </w:tr>
      <w:tr w:rsidR="00011A81" w:rsidRPr="00011A81" w:rsidTr="00383F99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Exclusivité territoriale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non en principe mais peut être prévu optionnellement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oui obligatoirement</w:t>
            </w:r>
          </w:p>
        </w:tc>
      </w:tr>
      <w:tr w:rsidR="00011A81" w:rsidRPr="00011A81" w:rsidTr="00383F99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Stratégie commerciale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doit suivre la stratégie du réseau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doit suivre la stratégie du réseau si le contrat le prévoit</w:t>
            </w:r>
          </w:p>
        </w:tc>
      </w:tr>
      <w:tr w:rsidR="00011A81" w:rsidRPr="00011A81" w:rsidTr="00383F99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Clause de non-concurrence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possible, notamment dans le but de protéger le savoir-faire transmis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possible</w:t>
            </w:r>
          </w:p>
        </w:tc>
      </w:tr>
      <w:tr w:rsidR="00011A81" w:rsidRPr="00011A81" w:rsidTr="00383F99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Assistance et formation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le franchiseur doit apporter une assistance continue au franchisé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possibilité de prévoir qu’une assistance matérielle, technique et commerciale soit fournie au concessionnaire</w:t>
            </w:r>
          </w:p>
        </w:tc>
      </w:tr>
      <w:tr w:rsidR="00011A81" w:rsidRPr="00011A81" w:rsidTr="00383F99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Approvisionnement exclusif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non en principe mais peut être prévu optionnellement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oui auprès du concédant</w:t>
            </w:r>
          </w:p>
        </w:tc>
      </w:tr>
      <w:tr w:rsidR="00011A81" w:rsidRPr="00011A81" w:rsidTr="00383F99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Cession du fonds de commerce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possible, mais le franchiseur peut avoir un droit de préemption et un agrément peut être prévu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</w:pPr>
            <w:r w:rsidRPr="00011A81">
              <w:rPr>
                <w:rFonts w:ascii="inherit" w:eastAsia="Times New Roman" w:hAnsi="inherit" w:cs="Arial"/>
                <w:sz w:val="20"/>
                <w:szCs w:val="20"/>
                <w:lang w:eastAsia="fr-FR"/>
              </w:rPr>
              <w:t>possible, mais le concédant doit accepter le transfert du contrat de concession à l’acquéreur</w:t>
            </w:r>
          </w:p>
        </w:tc>
      </w:tr>
      <w:tr w:rsidR="00011A81" w:rsidRPr="00011A81" w:rsidTr="00383F99">
        <w:trPr>
          <w:trHeight w:val="409"/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</w:pPr>
            <w:r>
              <w:rPr>
                <w:rFonts w:ascii="inherit" w:eastAsia="Times New Roman" w:hAnsi="inherit" w:cs="Arial"/>
                <w:sz w:val="18"/>
                <w:szCs w:val="18"/>
                <w:lang w:eastAsia="fr-FR"/>
              </w:rPr>
              <w:t>+ d’informations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Style w:val="Lienhypertexte"/>
                <w:sz w:val="16"/>
                <w:szCs w:val="16"/>
              </w:rPr>
            </w:pPr>
            <w:hyperlink r:id="rId6" w:history="1">
              <w:r w:rsidRPr="00011A81">
                <w:rPr>
                  <w:rStyle w:val="Lienhypertexte"/>
                  <w:rFonts w:ascii="inherit" w:eastAsia="Times New Roman" w:hAnsi="inherit" w:cs="Arial"/>
                  <w:sz w:val="16"/>
                  <w:szCs w:val="16"/>
                  <w:lang w:eastAsia="fr-FR"/>
                </w:rPr>
                <w:t>https://www.lecoindesentrepreneurs.fr/le-contrat-de-franchise/</w:t>
              </w:r>
            </w:hyperlink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6"/>
                <w:szCs w:val="16"/>
                <w:lang w:eastAsia="fr-FR"/>
              </w:rPr>
            </w:pPr>
            <w:hyperlink r:id="rId7" w:history="1">
              <w:r w:rsidRPr="00011A81">
                <w:rPr>
                  <w:rStyle w:val="Lienhypertexte"/>
                  <w:rFonts w:ascii="inherit" w:eastAsia="Times New Roman" w:hAnsi="inherit" w:cs="Arial"/>
                  <w:sz w:val="16"/>
                  <w:szCs w:val="16"/>
                  <w:lang w:eastAsia="fr-FR"/>
                </w:rPr>
                <w:t>https://www.lecoindesentrepreneurs.fr/devenir-concessionnaire-fonctionnement-avantages-inconvenients/</w:t>
              </w:r>
            </w:hyperlink>
          </w:p>
          <w:p w:rsidR="00011A81" w:rsidRPr="00011A81" w:rsidRDefault="00011A81" w:rsidP="00011A81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6"/>
                <w:szCs w:val="16"/>
                <w:lang w:eastAsia="fr-FR"/>
              </w:rPr>
            </w:pPr>
          </w:p>
        </w:tc>
      </w:tr>
    </w:tbl>
    <w:p w:rsidR="00011A81" w:rsidRPr="00011A81" w:rsidRDefault="00011A81" w:rsidP="00011A8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fr-FR"/>
        </w:rPr>
      </w:pPr>
      <w:r w:rsidRPr="00011A81">
        <w:rPr>
          <w:rFonts w:ascii="inherit" w:eastAsia="Times New Roman" w:hAnsi="inherit" w:cs="Arial"/>
          <w:sz w:val="20"/>
          <w:szCs w:val="20"/>
          <w:lang w:eastAsia="fr-FR"/>
        </w:rPr>
        <w:t>En définitive, le créateur d’entreprise ne choisit pas librement entre la franchise ou la concession. Son choix dépend surtout de ces deux paramètres :</w:t>
      </w:r>
    </w:p>
    <w:p w:rsidR="00011A81" w:rsidRPr="00011A81" w:rsidRDefault="00011A81" w:rsidP="00011A81">
      <w:pPr>
        <w:numPr>
          <w:ilvl w:val="0"/>
          <w:numId w:val="1"/>
        </w:numPr>
        <w:shd w:val="clear" w:color="auto" w:fill="FFFFFF"/>
        <w:spacing w:after="0" w:line="240" w:lineRule="auto"/>
        <w:ind w:left="600" w:right="360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fr-FR"/>
        </w:rPr>
      </w:pPr>
      <w:r>
        <w:rPr>
          <w:rFonts w:ascii="inherit" w:eastAsia="Times New Roman" w:hAnsi="inherit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5955030</wp:posOffset>
                </wp:positionH>
                <wp:positionV relativeFrom="paragraph">
                  <wp:posOffset>35560</wp:posOffset>
                </wp:positionV>
                <wp:extent cx="4171950" cy="4095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1A81" w:rsidRPr="00011A81" w:rsidRDefault="00011A81" w:rsidP="00011A81">
                            <w:pPr>
                              <w:shd w:val="clear" w:color="auto" w:fill="FFFFFF"/>
                              <w:spacing w:after="150" w:line="240" w:lineRule="auto"/>
                              <w:jc w:val="both"/>
                              <w:textAlignment w:val="baseline"/>
                              <w:rPr>
                                <w:rFonts w:ascii="inherit" w:eastAsia="Times New Roman" w:hAnsi="inherit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11A81">
                              <w:rPr>
                                <w:rFonts w:ascii="inherit" w:eastAsia="Times New Roman" w:hAnsi="inherit" w:cs="Arial"/>
                                <w:sz w:val="20"/>
                                <w:szCs w:val="20"/>
                                <w:lang w:eastAsia="fr-FR"/>
                              </w:rPr>
                              <w:t>La franchise n’est pas plus intéressante que la concession et inversement, ce qui compte c’est l’adéquation réseau/créateur ainsi que le contenu du contrat proposé.</w:t>
                            </w:r>
                          </w:p>
                          <w:p w:rsidR="00011A81" w:rsidRDefault="00011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68.9pt;margin-top:2.8pt;width:328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" fillcolor="white [3201]" strokeweight=".5pt">
                <v:textbox>
                  <w:txbxContent>
                    <w:p w:rsidR="00011A81" w:rsidRPr="00011A81" w:rsidRDefault="00011A81" w:rsidP="00011A81">
                      <w:pPr>
                        <w:shd w:val="clear" w:color="auto" w:fill="FFFFFF"/>
                        <w:spacing w:after="150" w:line="240" w:lineRule="auto"/>
                        <w:jc w:val="both"/>
                        <w:textAlignment w:val="baseline"/>
                        <w:rPr>
                          <w:rFonts w:ascii="inherit" w:eastAsia="Times New Roman" w:hAnsi="inherit" w:cs="Arial"/>
                          <w:sz w:val="20"/>
                          <w:szCs w:val="20"/>
                          <w:lang w:eastAsia="fr-FR"/>
                        </w:rPr>
                      </w:pPr>
                      <w:r w:rsidRPr="00011A81">
                        <w:rPr>
                          <w:rFonts w:ascii="inherit" w:eastAsia="Times New Roman" w:hAnsi="inherit" w:cs="Arial"/>
                          <w:sz w:val="20"/>
                          <w:szCs w:val="20"/>
                          <w:lang w:eastAsia="fr-FR"/>
                        </w:rPr>
                        <w:t>La franchise n’est pas plus intéressante que la concession et inversement, ce qui compte c’est l’adéquation réseau/créateur ainsi que le contenu du contrat proposé.</w:t>
                      </w:r>
                    </w:p>
                    <w:p w:rsidR="00011A81" w:rsidRDefault="00011A81"/>
                  </w:txbxContent>
                </v:textbox>
              </v:shape>
            </w:pict>
          </mc:Fallback>
        </mc:AlternateContent>
      </w:r>
      <w:proofErr w:type="gramStart"/>
      <w:r w:rsidRPr="00011A81">
        <w:rPr>
          <w:rFonts w:ascii="inherit" w:eastAsia="Times New Roman" w:hAnsi="inherit" w:cs="Arial"/>
          <w:sz w:val="20"/>
          <w:szCs w:val="20"/>
          <w:lang w:eastAsia="fr-FR"/>
        </w:rPr>
        <w:t>quel</w:t>
      </w:r>
      <w:proofErr w:type="gramEnd"/>
      <w:r w:rsidRPr="00011A81">
        <w:rPr>
          <w:rFonts w:ascii="inherit" w:eastAsia="Times New Roman" w:hAnsi="inherit" w:cs="Arial"/>
          <w:sz w:val="20"/>
          <w:szCs w:val="20"/>
          <w:lang w:eastAsia="fr-FR"/>
        </w:rPr>
        <w:t xml:space="preserve"> type de partenariat (franchise ou concession) est proposé par la ou les marques qui vous intéressent ?</w:t>
      </w:r>
    </w:p>
    <w:p w:rsidR="00011A81" w:rsidRPr="00011A81" w:rsidRDefault="00011A81" w:rsidP="00011A81">
      <w:pPr>
        <w:numPr>
          <w:ilvl w:val="0"/>
          <w:numId w:val="1"/>
        </w:numPr>
        <w:shd w:val="clear" w:color="auto" w:fill="FFFFFF"/>
        <w:spacing w:after="0" w:line="240" w:lineRule="auto"/>
        <w:ind w:left="600" w:right="360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fr-FR"/>
        </w:rPr>
      </w:pPr>
      <w:proofErr w:type="gramStart"/>
      <w:r w:rsidRPr="00011A81">
        <w:rPr>
          <w:rFonts w:ascii="inherit" w:eastAsia="Times New Roman" w:hAnsi="inherit" w:cs="Arial"/>
          <w:sz w:val="20"/>
          <w:szCs w:val="20"/>
          <w:lang w:eastAsia="fr-FR"/>
        </w:rPr>
        <w:t>quel</w:t>
      </w:r>
      <w:proofErr w:type="gramEnd"/>
      <w:r w:rsidRPr="00011A81">
        <w:rPr>
          <w:rFonts w:ascii="inherit" w:eastAsia="Times New Roman" w:hAnsi="inherit" w:cs="Arial"/>
          <w:sz w:val="20"/>
          <w:szCs w:val="20"/>
          <w:lang w:eastAsia="fr-FR"/>
        </w:rPr>
        <w:t xml:space="preserve"> est le contenu de la proposition de partenariat et la formule est-elle en adéquation avec vos attentes ?</w:t>
      </w:r>
    </w:p>
    <w:p w:rsidR="00011A81" w:rsidRPr="00011A81" w:rsidRDefault="00011A81" w:rsidP="00011A8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fr-FR"/>
        </w:rPr>
      </w:pPr>
      <w:r w:rsidRPr="00011A81">
        <w:rPr>
          <w:rFonts w:ascii="inherit" w:eastAsia="Times New Roman" w:hAnsi="inherit" w:cs="Arial"/>
          <w:sz w:val="20"/>
          <w:szCs w:val="20"/>
          <w:lang w:eastAsia="fr-FR"/>
        </w:rPr>
        <w:t>Sur ce deuxième point, le document d’information précontractuel contient toutes les informations nécessaires.</w:t>
      </w:r>
    </w:p>
    <w:sectPr w:rsidR="00011A81" w:rsidRPr="00011A81" w:rsidSect="00C86839">
      <w:pgSz w:w="16838" w:h="11906" w:orient="landscape" w:code="9"/>
      <w:pgMar w:top="193" w:right="567" w:bottom="1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C10"/>
    <w:multiLevelType w:val="multilevel"/>
    <w:tmpl w:val="89FE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81"/>
    <w:rsid w:val="00011A81"/>
    <w:rsid w:val="00383F99"/>
    <w:rsid w:val="006439FD"/>
    <w:rsid w:val="00783F99"/>
    <w:rsid w:val="00BC4DD1"/>
    <w:rsid w:val="00C86839"/>
    <w:rsid w:val="00D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4E3C"/>
  <w15:chartTrackingRefBased/>
  <w15:docId w15:val="{9EE2793B-4A55-45FF-B6C0-B45CE60A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11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1A8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011A81"/>
    <w:rPr>
      <w:i/>
      <w:iCs/>
    </w:rPr>
  </w:style>
  <w:style w:type="character" w:styleId="Lienhypertexte">
    <w:name w:val="Hyperlink"/>
    <w:basedOn w:val="Policepardfaut"/>
    <w:uiPriority w:val="99"/>
    <w:unhideWhenUsed/>
    <w:rsid w:val="00011A8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11A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coindesentrepreneurs.fr/devenir-concessionnaire-fonctionnement-avantages-inconveni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coindesentrepreneurs.fr/le-contrat-de-franchise/" TargetMode="External"/><Relationship Id="rId5" Type="http://schemas.openxmlformats.org/officeDocument/2006/relationships/hyperlink" Target="https://www.lecoindesentrepreneurs.fr/droit-d-entree-franchi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4</cp:revision>
  <cp:lastPrinted>2018-10-03T05:19:00Z</cp:lastPrinted>
  <dcterms:created xsi:type="dcterms:W3CDTF">2018-10-03T04:57:00Z</dcterms:created>
  <dcterms:modified xsi:type="dcterms:W3CDTF">2018-10-03T05:24:00Z</dcterms:modified>
</cp:coreProperties>
</file>